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CB2" w:rsidRDefault="00122EF7" w:rsidP="002A6B12">
      <w:pPr>
        <w:pStyle w:val="Ttulo"/>
        <w:pBdr>
          <w:bottom w:val="single" w:sz="12" w:space="1" w:color="auto"/>
        </w:pBdr>
        <w:jc w:val="both"/>
      </w:pPr>
      <w:r w:rsidRPr="001409B7">
        <w:t>Enfermedades autoinmunes y C</w:t>
      </w:r>
      <w:r w:rsidR="002A6B12">
        <w:t>OVID</w:t>
      </w:r>
      <w:r w:rsidRPr="001409B7">
        <w:t>-19</w:t>
      </w:r>
    </w:p>
    <w:p w:rsidR="002A6B12" w:rsidRPr="002A6B12" w:rsidRDefault="002A6B12" w:rsidP="002A6B12">
      <w:pPr>
        <w:jc w:val="both"/>
      </w:pPr>
    </w:p>
    <w:p w:rsidR="00711375" w:rsidRPr="002A6B12" w:rsidRDefault="00711375" w:rsidP="002A6B12">
      <w:pPr>
        <w:jc w:val="both"/>
        <w:rPr>
          <w:i/>
          <w:iCs/>
          <w:color w:val="00B0F0"/>
          <w:sz w:val="32"/>
          <w:szCs w:val="32"/>
        </w:rPr>
      </w:pPr>
      <w:r w:rsidRPr="002A6B12">
        <w:rPr>
          <w:i/>
          <w:iCs/>
          <w:color w:val="00B0F0"/>
          <w:sz w:val="32"/>
          <w:szCs w:val="32"/>
        </w:rPr>
        <w:t>¿</w:t>
      </w:r>
      <w:r w:rsidR="002A6B12">
        <w:rPr>
          <w:i/>
          <w:iCs/>
          <w:color w:val="00B0F0"/>
          <w:sz w:val="32"/>
          <w:szCs w:val="32"/>
        </w:rPr>
        <w:t>Qué</w:t>
      </w:r>
      <w:r w:rsidRPr="002A6B12">
        <w:rPr>
          <w:i/>
          <w:iCs/>
          <w:color w:val="00B0F0"/>
          <w:sz w:val="32"/>
          <w:szCs w:val="32"/>
        </w:rPr>
        <w:t xml:space="preserve"> </w:t>
      </w:r>
      <w:r w:rsidR="002A6B12">
        <w:rPr>
          <w:i/>
          <w:iCs/>
          <w:color w:val="00B0F0"/>
          <w:sz w:val="32"/>
          <w:szCs w:val="32"/>
        </w:rPr>
        <w:t>es</w:t>
      </w:r>
      <w:r w:rsidRPr="002A6B12">
        <w:rPr>
          <w:i/>
          <w:iCs/>
          <w:color w:val="00B0F0"/>
          <w:sz w:val="32"/>
          <w:szCs w:val="32"/>
        </w:rPr>
        <w:t xml:space="preserve"> </w:t>
      </w:r>
      <w:r w:rsidR="002A6B12">
        <w:rPr>
          <w:i/>
          <w:iCs/>
          <w:color w:val="00B0F0"/>
          <w:sz w:val="32"/>
          <w:szCs w:val="32"/>
        </w:rPr>
        <w:t>una</w:t>
      </w:r>
      <w:r w:rsidRPr="002A6B12">
        <w:rPr>
          <w:i/>
          <w:iCs/>
          <w:color w:val="00B0F0"/>
          <w:sz w:val="32"/>
          <w:szCs w:val="32"/>
        </w:rPr>
        <w:t xml:space="preserve"> enfermedad autoinmune?</w:t>
      </w:r>
      <w:bookmarkStart w:id="0" w:name="_GoBack"/>
      <w:bookmarkEnd w:id="0"/>
    </w:p>
    <w:p w:rsidR="00122EF7" w:rsidRPr="002A6B12" w:rsidRDefault="002A6B12" w:rsidP="002A6B12">
      <w:pPr>
        <w:jc w:val="both"/>
        <w:rPr>
          <w:sz w:val="24"/>
          <w:szCs w:val="24"/>
        </w:rPr>
      </w:pPr>
      <w:r w:rsidRPr="002A6B12">
        <w:rPr>
          <w:sz w:val="24"/>
          <w:szCs w:val="24"/>
        </w:rPr>
        <w:t xml:space="preserve">Es una respuesta </w:t>
      </w:r>
      <w:r w:rsidRPr="00C41651">
        <w:rPr>
          <w:b/>
          <w:bCs/>
          <w:color w:val="FF0000"/>
          <w:sz w:val="24"/>
          <w:szCs w:val="24"/>
        </w:rPr>
        <w:t>exagerada</w:t>
      </w:r>
      <w:r w:rsidRPr="00C41651">
        <w:rPr>
          <w:color w:val="FF0000"/>
          <w:sz w:val="24"/>
          <w:szCs w:val="24"/>
        </w:rPr>
        <w:t xml:space="preserve"> </w:t>
      </w:r>
      <w:r w:rsidRPr="002A6B12">
        <w:rPr>
          <w:sz w:val="24"/>
          <w:szCs w:val="24"/>
        </w:rPr>
        <w:t xml:space="preserve">del sistema inmunológico contra células propias que reconoce anormalmente como extrañas. </w:t>
      </w:r>
      <w:r w:rsidR="00122EF7" w:rsidRPr="002A6B12">
        <w:rPr>
          <w:sz w:val="24"/>
          <w:szCs w:val="24"/>
        </w:rPr>
        <w:t>Las enfermedades autoinmunes pueden ser relativamente frecuentes, como la enfermedad tiroidea autoinmune</w:t>
      </w:r>
      <w:r w:rsidR="00711375" w:rsidRPr="002A6B12">
        <w:rPr>
          <w:sz w:val="24"/>
          <w:szCs w:val="24"/>
        </w:rPr>
        <w:t xml:space="preserve"> (tiroiditis de Hashimoto y enfermedad de Graves)</w:t>
      </w:r>
      <w:r w:rsidR="00122EF7" w:rsidRPr="002A6B12">
        <w:rPr>
          <w:sz w:val="24"/>
          <w:szCs w:val="24"/>
        </w:rPr>
        <w:t xml:space="preserve"> y </w:t>
      </w:r>
      <w:r w:rsidR="00711375" w:rsidRPr="002A6B12">
        <w:rPr>
          <w:sz w:val="24"/>
          <w:szCs w:val="24"/>
        </w:rPr>
        <w:t>ciertos tipos de</w:t>
      </w:r>
      <w:r w:rsidR="00122EF7" w:rsidRPr="002A6B12">
        <w:rPr>
          <w:sz w:val="24"/>
          <w:szCs w:val="24"/>
        </w:rPr>
        <w:t xml:space="preserve"> artritis reumatoides (500 por 100 000 habitantes) o de menor frecuencia, como </w:t>
      </w:r>
      <w:r>
        <w:rPr>
          <w:sz w:val="24"/>
          <w:szCs w:val="24"/>
        </w:rPr>
        <w:t xml:space="preserve">la </w:t>
      </w:r>
      <w:r w:rsidR="00122EF7" w:rsidRPr="002A6B12">
        <w:rPr>
          <w:sz w:val="24"/>
          <w:szCs w:val="24"/>
        </w:rPr>
        <w:t xml:space="preserve">hepatitis crónica </w:t>
      </w:r>
      <w:r>
        <w:rPr>
          <w:sz w:val="24"/>
          <w:szCs w:val="24"/>
        </w:rPr>
        <w:t>autoinmune</w:t>
      </w:r>
      <w:r w:rsidR="00122EF7" w:rsidRPr="002A6B12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la </w:t>
      </w:r>
      <w:r w:rsidR="00122EF7" w:rsidRPr="002A6B12">
        <w:rPr>
          <w:sz w:val="24"/>
          <w:szCs w:val="24"/>
        </w:rPr>
        <w:t xml:space="preserve">uveítis </w:t>
      </w:r>
      <w:r>
        <w:rPr>
          <w:sz w:val="24"/>
          <w:szCs w:val="24"/>
        </w:rPr>
        <w:t xml:space="preserve">autoinmune </w:t>
      </w:r>
      <w:r w:rsidR="00122EF7" w:rsidRPr="002A6B12">
        <w:rPr>
          <w:sz w:val="24"/>
          <w:szCs w:val="24"/>
        </w:rPr>
        <w:t>(5 por 100 000 habitantes). En Estados Unidos se consideran la 10ª causa de mortalidad general.</w:t>
      </w:r>
      <w:r w:rsidR="00BE27CF" w:rsidRPr="002A6B12">
        <w:rPr>
          <w:rStyle w:val="Refdenotaalpie"/>
          <w:sz w:val="24"/>
          <w:szCs w:val="24"/>
        </w:rPr>
        <w:footnoteReference w:id="1"/>
      </w:r>
      <w:r w:rsidR="00122EF7" w:rsidRPr="002A6B12">
        <w:rPr>
          <w:sz w:val="24"/>
          <w:szCs w:val="24"/>
        </w:rPr>
        <w:t xml:space="preserve"> </w:t>
      </w:r>
    </w:p>
    <w:p w:rsidR="00711375" w:rsidRPr="002A6B12" w:rsidRDefault="00711375" w:rsidP="002A6B12">
      <w:pPr>
        <w:jc w:val="both"/>
        <w:rPr>
          <w:i/>
          <w:iCs/>
          <w:color w:val="00B0F0"/>
          <w:sz w:val="32"/>
          <w:szCs w:val="32"/>
        </w:rPr>
      </w:pPr>
      <w:r w:rsidRPr="002A6B12">
        <w:rPr>
          <w:i/>
          <w:iCs/>
          <w:color w:val="00B0F0"/>
          <w:sz w:val="32"/>
          <w:szCs w:val="32"/>
        </w:rPr>
        <w:t>¿Cuál es la causa de las enfermedades autoinmunes?</w:t>
      </w:r>
    </w:p>
    <w:p w:rsidR="00122EF7" w:rsidRPr="002A6B12" w:rsidRDefault="00E10733" w:rsidP="002A6B12">
      <w:pPr>
        <w:jc w:val="both"/>
        <w:rPr>
          <w:sz w:val="24"/>
          <w:szCs w:val="24"/>
        </w:rPr>
      </w:pPr>
      <w:r w:rsidRPr="002A6B12">
        <w:rPr>
          <w:sz w:val="24"/>
          <w:szCs w:val="24"/>
        </w:rPr>
        <w:t xml:space="preserve">Su causa es desconocida, generalmente se presenta por la combinación de factores genéticos y ambientales. </w:t>
      </w:r>
      <w:r w:rsidR="00711375" w:rsidRPr="002A6B12">
        <w:rPr>
          <w:sz w:val="24"/>
          <w:szCs w:val="24"/>
        </w:rPr>
        <w:t xml:space="preserve">El sustrato común a todas estas enfermedades es un estado </w:t>
      </w:r>
      <w:r w:rsidR="00711375" w:rsidRPr="00C41651">
        <w:rPr>
          <w:b/>
          <w:bCs/>
          <w:color w:val="FF0000"/>
          <w:sz w:val="24"/>
          <w:szCs w:val="24"/>
        </w:rPr>
        <w:t>inflamatorio</w:t>
      </w:r>
      <w:r w:rsidR="00711375" w:rsidRPr="00C41651">
        <w:rPr>
          <w:color w:val="FF0000"/>
          <w:sz w:val="24"/>
          <w:szCs w:val="24"/>
        </w:rPr>
        <w:t xml:space="preserve"> </w:t>
      </w:r>
      <w:r w:rsidR="00711375" w:rsidRPr="002A6B12">
        <w:rPr>
          <w:sz w:val="24"/>
          <w:szCs w:val="24"/>
        </w:rPr>
        <w:t xml:space="preserve">crónico, generado por múltiples causas, que se traduce en la producción de anticuerpos y linfocitos específicos contra uno o varios de los antígenos propios, es decir, estructuras que están en </w:t>
      </w:r>
      <w:r w:rsidR="002A6B12">
        <w:rPr>
          <w:sz w:val="24"/>
          <w:szCs w:val="24"/>
        </w:rPr>
        <w:t>las células</w:t>
      </w:r>
      <w:r w:rsidR="00711375" w:rsidRPr="002A6B12">
        <w:rPr>
          <w:sz w:val="24"/>
          <w:szCs w:val="24"/>
        </w:rPr>
        <w:t xml:space="preserve"> del </w:t>
      </w:r>
      <w:r w:rsidR="002A6B12">
        <w:rPr>
          <w:sz w:val="24"/>
          <w:szCs w:val="24"/>
        </w:rPr>
        <w:t>mismo paciente</w:t>
      </w:r>
      <w:r w:rsidR="00711375" w:rsidRPr="002A6B12">
        <w:rPr>
          <w:sz w:val="24"/>
          <w:szCs w:val="24"/>
        </w:rPr>
        <w:t>.</w:t>
      </w:r>
    </w:p>
    <w:p w:rsidR="00943B9D" w:rsidRPr="002A6B12" w:rsidRDefault="00943B9D" w:rsidP="002A6B12">
      <w:pPr>
        <w:jc w:val="both"/>
        <w:rPr>
          <w:sz w:val="24"/>
          <w:szCs w:val="24"/>
        </w:rPr>
      </w:pPr>
      <w:r w:rsidRPr="002A6B12">
        <w:rPr>
          <w:sz w:val="24"/>
          <w:szCs w:val="24"/>
        </w:rPr>
        <w:t xml:space="preserve">En muchos pacientes con enfermedades del tipo de las inmunodeficiencias primarias por anticuerpos o celulares, se pueden presentar </w:t>
      </w:r>
      <w:r w:rsidR="002A6B12">
        <w:rPr>
          <w:sz w:val="24"/>
          <w:szCs w:val="24"/>
        </w:rPr>
        <w:t xml:space="preserve">también </w:t>
      </w:r>
      <w:r w:rsidRPr="002A6B12">
        <w:rPr>
          <w:sz w:val="24"/>
          <w:szCs w:val="24"/>
        </w:rPr>
        <w:t>enfermedades autoinmunes.</w:t>
      </w:r>
      <w:r w:rsidRPr="002A6B12">
        <w:rPr>
          <w:rStyle w:val="Refdenotaalpie"/>
          <w:sz w:val="24"/>
          <w:szCs w:val="24"/>
        </w:rPr>
        <w:footnoteReference w:id="2"/>
      </w:r>
      <w:r w:rsidR="003272C1" w:rsidRPr="002A6B12">
        <w:rPr>
          <w:sz w:val="24"/>
          <w:szCs w:val="24"/>
          <w:vertAlign w:val="superscript"/>
        </w:rPr>
        <w:t>,</w:t>
      </w:r>
      <w:r w:rsidR="003272C1" w:rsidRPr="002A6B12">
        <w:rPr>
          <w:rStyle w:val="Refdenotaalpie"/>
          <w:sz w:val="24"/>
          <w:szCs w:val="24"/>
        </w:rPr>
        <w:footnoteReference w:id="3"/>
      </w:r>
    </w:p>
    <w:p w:rsidR="00E10733" w:rsidRPr="002A6B12" w:rsidRDefault="00E10733" w:rsidP="002A6B12">
      <w:pPr>
        <w:jc w:val="both"/>
        <w:rPr>
          <w:i/>
          <w:iCs/>
          <w:color w:val="00B0F0"/>
          <w:sz w:val="32"/>
          <w:szCs w:val="32"/>
        </w:rPr>
      </w:pPr>
      <w:r w:rsidRPr="002A6B12">
        <w:rPr>
          <w:i/>
          <w:iCs/>
          <w:color w:val="00B0F0"/>
          <w:sz w:val="32"/>
          <w:szCs w:val="32"/>
        </w:rPr>
        <w:t xml:space="preserve">¿Qué cuidados debe tener un paciente con </w:t>
      </w:r>
      <w:r w:rsidR="002A6B12">
        <w:rPr>
          <w:i/>
          <w:iCs/>
          <w:color w:val="00B0F0"/>
          <w:sz w:val="32"/>
          <w:szCs w:val="32"/>
        </w:rPr>
        <w:t xml:space="preserve">una </w:t>
      </w:r>
      <w:r w:rsidRPr="002A6B12">
        <w:rPr>
          <w:i/>
          <w:iCs/>
          <w:color w:val="00B0F0"/>
          <w:sz w:val="32"/>
          <w:szCs w:val="32"/>
        </w:rPr>
        <w:t>enfermedad autoinmune</w:t>
      </w:r>
      <w:r w:rsidR="00E10175" w:rsidRPr="002A6B12">
        <w:rPr>
          <w:i/>
          <w:iCs/>
          <w:color w:val="00B0F0"/>
          <w:sz w:val="32"/>
          <w:szCs w:val="32"/>
        </w:rPr>
        <w:t xml:space="preserve"> durante la pandemia de C</w:t>
      </w:r>
      <w:r w:rsidR="002A6B12">
        <w:rPr>
          <w:i/>
          <w:iCs/>
          <w:color w:val="00B0F0"/>
          <w:sz w:val="32"/>
          <w:szCs w:val="32"/>
        </w:rPr>
        <w:t>OVID</w:t>
      </w:r>
      <w:r w:rsidR="00E10175" w:rsidRPr="002A6B12">
        <w:rPr>
          <w:i/>
          <w:iCs/>
          <w:color w:val="00B0F0"/>
          <w:sz w:val="32"/>
          <w:szCs w:val="32"/>
        </w:rPr>
        <w:t>-19</w:t>
      </w:r>
      <w:r w:rsidRPr="002A6B12">
        <w:rPr>
          <w:i/>
          <w:iCs/>
          <w:color w:val="00B0F0"/>
          <w:sz w:val="32"/>
          <w:szCs w:val="32"/>
        </w:rPr>
        <w:t>?</w:t>
      </w:r>
    </w:p>
    <w:p w:rsidR="00E10733" w:rsidRPr="00D23BD2" w:rsidRDefault="00E10733" w:rsidP="002A6B12">
      <w:pPr>
        <w:spacing w:line="240" w:lineRule="auto"/>
        <w:jc w:val="both"/>
        <w:rPr>
          <w:sz w:val="24"/>
          <w:szCs w:val="24"/>
        </w:rPr>
      </w:pPr>
      <w:r w:rsidRPr="00D23BD2">
        <w:rPr>
          <w:sz w:val="24"/>
          <w:szCs w:val="24"/>
        </w:rPr>
        <w:t xml:space="preserve">Estos pacientes deben: </w:t>
      </w:r>
    </w:p>
    <w:p w:rsidR="00E10733" w:rsidRPr="00D23BD2" w:rsidRDefault="00E10733" w:rsidP="00684F67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23BD2">
        <w:rPr>
          <w:sz w:val="24"/>
          <w:szCs w:val="24"/>
        </w:rPr>
        <w:t>Extremar los cuidados higiénicos y las medidas de distanciamiento social</w:t>
      </w:r>
    </w:p>
    <w:p w:rsidR="00E10733" w:rsidRPr="00D23BD2" w:rsidRDefault="00E10733" w:rsidP="00684F67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23BD2">
        <w:rPr>
          <w:sz w:val="24"/>
          <w:szCs w:val="24"/>
        </w:rPr>
        <w:t>Llevar una dieta baja en carbohidratos y grasas procesa</w:t>
      </w:r>
      <w:r w:rsidR="00D23BD2">
        <w:rPr>
          <w:sz w:val="24"/>
          <w:szCs w:val="24"/>
        </w:rPr>
        <w:t>da</w:t>
      </w:r>
      <w:r w:rsidRPr="00D23BD2">
        <w:rPr>
          <w:sz w:val="24"/>
          <w:szCs w:val="24"/>
        </w:rPr>
        <w:t xml:space="preserve">s, </w:t>
      </w:r>
      <w:r w:rsidR="00D23BD2">
        <w:rPr>
          <w:sz w:val="24"/>
          <w:szCs w:val="24"/>
        </w:rPr>
        <w:t>tener un</w:t>
      </w:r>
      <w:r w:rsidRPr="00D23BD2">
        <w:rPr>
          <w:sz w:val="24"/>
          <w:szCs w:val="24"/>
        </w:rPr>
        <w:t xml:space="preserve"> aporte de proteínas adecuado inclu</w:t>
      </w:r>
      <w:r w:rsidR="00E10175" w:rsidRPr="00D23BD2">
        <w:rPr>
          <w:sz w:val="24"/>
          <w:szCs w:val="24"/>
        </w:rPr>
        <w:t>yendo</w:t>
      </w:r>
      <w:r w:rsidRPr="00D23BD2">
        <w:rPr>
          <w:sz w:val="24"/>
          <w:szCs w:val="24"/>
        </w:rPr>
        <w:t xml:space="preserve"> una ración</w:t>
      </w:r>
      <w:r w:rsidR="00E10175" w:rsidRPr="00D23BD2">
        <w:rPr>
          <w:sz w:val="24"/>
          <w:szCs w:val="24"/>
        </w:rPr>
        <w:t xml:space="preserve"> (equivalente a una taza), </w:t>
      </w:r>
      <w:r w:rsidRPr="00D23BD2">
        <w:rPr>
          <w:sz w:val="24"/>
          <w:szCs w:val="24"/>
        </w:rPr>
        <w:t xml:space="preserve">de vegetales frescos por comida. </w:t>
      </w:r>
      <w:r w:rsidR="00E10175" w:rsidRPr="00D23BD2">
        <w:rPr>
          <w:sz w:val="24"/>
          <w:szCs w:val="24"/>
        </w:rPr>
        <w:t xml:space="preserve">Fraccionar la dieta en </w:t>
      </w:r>
      <w:r w:rsidR="00D23BD2">
        <w:rPr>
          <w:sz w:val="24"/>
          <w:szCs w:val="24"/>
        </w:rPr>
        <w:t xml:space="preserve">varias </w:t>
      </w:r>
      <w:r w:rsidR="00E10175" w:rsidRPr="00D23BD2">
        <w:rPr>
          <w:sz w:val="24"/>
          <w:szCs w:val="24"/>
        </w:rPr>
        <w:t>tomas</w:t>
      </w:r>
      <w:r w:rsidR="00D23BD2">
        <w:rPr>
          <w:sz w:val="24"/>
          <w:szCs w:val="24"/>
        </w:rPr>
        <w:t xml:space="preserve"> al día</w:t>
      </w:r>
      <w:r w:rsidR="00E10175" w:rsidRPr="00D23BD2">
        <w:rPr>
          <w:sz w:val="24"/>
          <w:szCs w:val="24"/>
        </w:rPr>
        <w:t xml:space="preserve"> (3-5 según se haya recomendado por </w:t>
      </w:r>
      <w:r w:rsidR="00D23BD2">
        <w:rPr>
          <w:sz w:val="24"/>
          <w:szCs w:val="24"/>
        </w:rPr>
        <w:t>su</w:t>
      </w:r>
      <w:r w:rsidR="00E10175" w:rsidRPr="00D23BD2">
        <w:rPr>
          <w:sz w:val="24"/>
          <w:szCs w:val="24"/>
        </w:rPr>
        <w:t xml:space="preserve"> médico tratante). </w:t>
      </w:r>
      <w:r w:rsidRPr="00D23BD2">
        <w:rPr>
          <w:sz w:val="24"/>
          <w:szCs w:val="24"/>
        </w:rPr>
        <w:t xml:space="preserve">Si no </w:t>
      </w:r>
      <w:r w:rsidR="00E10175" w:rsidRPr="00D23BD2">
        <w:rPr>
          <w:sz w:val="24"/>
          <w:szCs w:val="24"/>
        </w:rPr>
        <w:t>existe</w:t>
      </w:r>
      <w:r w:rsidRPr="00D23BD2">
        <w:rPr>
          <w:sz w:val="24"/>
          <w:szCs w:val="24"/>
        </w:rPr>
        <w:t xml:space="preserve"> obesidad</w:t>
      </w:r>
      <w:r w:rsidR="00E10175" w:rsidRPr="00D23BD2">
        <w:rPr>
          <w:sz w:val="24"/>
          <w:szCs w:val="24"/>
        </w:rPr>
        <w:t xml:space="preserve"> y/o diabetes</w:t>
      </w:r>
      <w:r w:rsidRPr="00D23BD2">
        <w:rPr>
          <w:sz w:val="24"/>
          <w:szCs w:val="24"/>
        </w:rPr>
        <w:t xml:space="preserve">, </w:t>
      </w:r>
      <w:r w:rsidR="00D23BD2">
        <w:rPr>
          <w:sz w:val="24"/>
          <w:szCs w:val="24"/>
        </w:rPr>
        <w:t xml:space="preserve">incluir </w:t>
      </w:r>
      <w:r w:rsidR="00E10175" w:rsidRPr="00D23BD2">
        <w:rPr>
          <w:sz w:val="24"/>
          <w:szCs w:val="24"/>
        </w:rPr>
        <w:t xml:space="preserve">de </w:t>
      </w:r>
      <w:r w:rsidRPr="00D23BD2">
        <w:rPr>
          <w:sz w:val="24"/>
          <w:szCs w:val="24"/>
        </w:rPr>
        <w:t xml:space="preserve">una </w:t>
      </w:r>
      <w:r w:rsidR="00E10175" w:rsidRPr="00D23BD2">
        <w:rPr>
          <w:sz w:val="24"/>
          <w:szCs w:val="24"/>
        </w:rPr>
        <w:t>a</w:t>
      </w:r>
      <w:r w:rsidRPr="00D23BD2">
        <w:rPr>
          <w:sz w:val="24"/>
          <w:szCs w:val="24"/>
        </w:rPr>
        <w:t xml:space="preserve"> </w:t>
      </w:r>
      <w:r w:rsidR="00E10175" w:rsidRPr="00D23BD2">
        <w:rPr>
          <w:sz w:val="24"/>
          <w:szCs w:val="24"/>
        </w:rPr>
        <w:t>tres</w:t>
      </w:r>
      <w:r w:rsidRPr="00D23BD2">
        <w:rPr>
          <w:sz w:val="24"/>
          <w:szCs w:val="24"/>
        </w:rPr>
        <w:t xml:space="preserve"> raciones de fruta fresca</w:t>
      </w:r>
      <w:r w:rsidR="00E10175" w:rsidRPr="00D23BD2">
        <w:rPr>
          <w:sz w:val="24"/>
          <w:szCs w:val="24"/>
        </w:rPr>
        <w:t xml:space="preserve"> como fuente de carbohidratos</w:t>
      </w:r>
    </w:p>
    <w:p w:rsidR="001409B7" w:rsidRPr="00D23BD2" w:rsidRDefault="00E10175" w:rsidP="00684F67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23BD2">
        <w:rPr>
          <w:sz w:val="24"/>
          <w:szCs w:val="24"/>
        </w:rPr>
        <w:t xml:space="preserve">Suspender </w:t>
      </w:r>
      <w:r w:rsidR="00D23BD2">
        <w:rPr>
          <w:sz w:val="24"/>
          <w:szCs w:val="24"/>
        </w:rPr>
        <w:t>inmediatamente</w:t>
      </w:r>
      <w:r w:rsidRPr="00D23BD2">
        <w:rPr>
          <w:sz w:val="24"/>
          <w:szCs w:val="24"/>
        </w:rPr>
        <w:t xml:space="preserve"> el tabaquismo y la</w:t>
      </w:r>
      <w:r w:rsidR="00D23BD2">
        <w:rPr>
          <w:sz w:val="24"/>
          <w:szCs w:val="24"/>
        </w:rPr>
        <w:t xml:space="preserve"> ingesta de</w:t>
      </w:r>
      <w:r w:rsidRPr="00D23BD2">
        <w:rPr>
          <w:sz w:val="24"/>
          <w:szCs w:val="24"/>
        </w:rPr>
        <w:t xml:space="preserve"> bebidas alcohólicas</w:t>
      </w:r>
    </w:p>
    <w:p w:rsidR="00E10733" w:rsidRPr="00D23BD2" w:rsidRDefault="00E10733" w:rsidP="00684F67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23BD2">
        <w:rPr>
          <w:sz w:val="24"/>
          <w:szCs w:val="24"/>
        </w:rPr>
        <w:lastRenderedPageBreak/>
        <w:t xml:space="preserve">Seguir </w:t>
      </w:r>
      <w:r w:rsidRPr="00C41651">
        <w:rPr>
          <w:b/>
          <w:bCs/>
          <w:color w:val="FF0000"/>
          <w:sz w:val="24"/>
          <w:szCs w:val="24"/>
        </w:rPr>
        <w:t>estrictamente</w:t>
      </w:r>
      <w:r w:rsidR="00C41651" w:rsidRPr="00C41651">
        <w:rPr>
          <w:b/>
          <w:bCs/>
          <w:color w:val="FF0000"/>
          <w:sz w:val="24"/>
          <w:szCs w:val="24"/>
        </w:rPr>
        <w:t xml:space="preserve"> </w:t>
      </w:r>
      <w:r w:rsidRPr="00C41651">
        <w:rPr>
          <w:b/>
          <w:bCs/>
          <w:color w:val="FF0000"/>
          <w:sz w:val="24"/>
          <w:szCs w:val="24"/>
        </w:rPr>
        <w:t>el tratamiento</w:t>
      </w:r>
      <w:r w:rsidRPr="00C41651">
        <w:rPr>
          <w:color w:val="FF0000"/>
          <w:sz w:val="24"/>
          <w:szCs w:val="24"/>
        </w:rPr>
        <w:t xml:space="preserve"> </w:t>
      </w:r>
      <w:r w:rsidRPr="00D23BD2">
        <w:rPr>
          <w:sz w:val="24"/>
          <w:szCs w:val="24"/>
        </w:rPr>
        <w:t xml:space="preserve">que se haya </w:t>
      </w:r>
      <w:r w:rsidR="00AE2054">
        <w:rPr>
          <w:sz w:val="24"/>
          <w:szCs w:val="24"/>
        </w:rPr>
        <w:t>indicado por su médico especialmente</w:t>
      </w:r>
      <w:r w:rsidRPr="00D23BD2">
        <w:rPr>
          <w:sz w:val="24"/>
          <w:szCs w:val="24"/>
        </w:rPr>
        <w:t xml:space="preserve"> </w:t>
      </w:r>
      <w:r w:rsidR="00E10175" w:rsidRPr="00D23BD2">
        <w:rPr>
          <w:sz w:val="24"/>
          <w:szCs w:val="24"/>
        </w:rPr>
        <w:t>s</w:t>
      </w:r>
      <w:r w:rsidRPr="00D23BD2">
        <w:rPr>
          <w:sz w:val="24"/>
          <w:szCs w:val="24"/>
        </w:rPr>
        <w:t xml:space="preserve">i </w:t>
      </w:r>
      <w:r w:rsidR="00E10175" w:rsidRPr="00D23BD2">
        <w:rPr>
          <w:sz w:val="24"/>
          <w:szCs w:val="24"/>
        </w:rPr>
        <w:t xml:space="preserve">se asocia </w:t>
      </w:r>
      <w:r w:rsidR="00AE2054">
        <w:rPr>
          <w:sz w:val="24"/>
          <w:szCs w:val="24"/>
        </w:rPr>
        <w:t xml:space="preserve">a </w:t>
      </w:r>
      <w:r w:rsidRPr="00D23BD2">
        <w:rPr>
          <w:sz w:val="24"/>
          <w:szCs w:val="24"/>
        </w:rPr>
        <w:t>alguna comorbilidad (hipertensión</w:t>
      </w:r>
      <w:r w:rsidR="00AE2054">
        <w:rPr>
          <w:sz w:val="24"/>
          <w:szCs w:val="24"/>
        </w:rPr>
        <w:t xml:space="preserve"> arterial</w:t>
      </w:r>
      <w:r w:rsidRPr="00D23BD2">
        <w:rPr>
          <w:sz w:val="24"/>
          <w:szCs w:val="24"/>
        </w:rPr>
        <w:t>, diabetes</w:t>
      </w:r>
      <w:r w:rsidR="00AE2054">
        <w:rPr>
          <w:sz w:val="24"/>
          <w:szCs w:val="24"/>
        </w:rPr>
        <w:t xml:space="preserve"> mellitus</w:t>
      </w:r>
      <w:r w:rsidRPr="00D23BD2">
        <w:rPr>
          <w:sz w:val="24"/>
          <w:szCs w:val="24"/>
        </w:rPr>
        <w:t>, obesidad, enfermedad pulmonar obstructiva crónica</w:t>
      </w:r>
      <w:r w:rsidR="00747E65" w:rsidRPr="00D23BD2">
        <w:rPr>
          <w:sz w:val="24"/>
          <w:szCs w:val="24"/>
        </w:rPr>
        <w:t>, etc.</w:t>
      </w:r>
      <w:r w:rsidRPr="00D23BD2">
        <w:rPr>
          <w:sz w:val="24"/>
          <w:szCs w:val="24"/>
        </w:rPr>
        <w:t>)</w:t>
      </w:r>
    </w:p>
    <w:p w:rsidR="00E10175" w:rsidRDefault="00E10175" w:rsidP="00684F67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E2054">
        <w:rPr>
          <w:sz w:val="24"/>
          <w:szCs w:val="24"/>
        </w:rPr>
        <w:t xml:space="preserve">Realizar alguna actividad física en domicilio: yoga, tai-chi, ejercicio con aparatos, etc. </w:t>
      </w:r>
    </w:p>
    <w:p w:rsidR="00AE2054" w:rsidRPr="00AE2054" w:rsidRDefault="00AE2054" w:rsidP="00AE2054">
      <w:pPr>
        <w:pStyle w:val="Prrafodelista"/>
        <w:spacing w:line="240" w:lineRule="auto"/>
        <w:jc w:val="both"/>
        <w:rPr>
          <w:sz w:val="24"/>
          <w:szCs w:val="24"/>
        </w:rPr>
      </w:pPr>
    </w:p>
    <w:p w:rsidR="00E10175" w:rsidRPr="002A6B12" w:rsidRDefault="00E10175" w:rsidP="002A6B12">
      <w:pPr>
        <w:jc w:val="both"/>
        <w:rPr>
          <w:i/>
          <w:iCs/>
          <w:color w:val="00B0F0"/>
          <w:sz w:val="32"/>
          <w:szCs w:val="32"/>
        </w:rPr>
      </w:pPr>
      <w:r w:rsidRPr="002A6B12">
        <w:rPr>
          <w:i/>
          <w:iCs/>
          <w:color w:val="00B0F0"/>
          <w:sz w:val="32"/>
          <w:szCs w:val="32"/>
        </w:rPr>
        <w:t>¿Se debe continuar el tratamiento con los medicamentos inmunosupresores?</w:t>
      </w:r>
    </w:p>
    <w:p w:rsidR="00E10175" w:rsidRPr="00A57AB4" w:rsidRDefault="00E10175" w:rsidP="00684F6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7AB4">
        <w:rPr>
          <w:sz w:val="24"/>
          <w:szCs w:val="24"/>
        </w:rPr>
        <w:t>El tratamiento con corticoides y azatioprina puede continuarse si no hay indicio</w:t>
      </w:r>
      <w:r w:rsidR="00A57AB4">
        <w:rPr>
          <w:sz w:val="24"/>
          <w:szCs w:val="24"/>
        </w:rPr>
        <w:t>s</w:t>
      </w:r>
      <w:r w:rsidRPr="00A57AB4">
        <w:rPr>
          <w:sz w:val="24"/>
          <w:szCs w:val="24"/>
        </w:rPr>
        <w:t xml:space="preserve"> de alguna infección</w:t>
      </w:r>
    </w:p>
    <w:p w:rsidR="00E10175" w:rsidRPr="00A57AB4" w:rsidRDefault="00A57AB4" w:rsidP="00684F6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1409B7" w:rsidRPr="00A57AB4">
        <w:rPr>
          <w:sz w:val="24"/>
          <w:szCs w:val="24"/>
        </w:rPr>
        <w:t xml:space="preserve"> acuerdo </w:t>
      </w:r>
      <w:r>
        <w:rPr>
          <w:sz w:val="24"/>
          <w:szCs w:val="24"/>
        </w:rPr>
        <w:t xml:space="preserve">al criterio </w:t>
      </w:r>
      <w:r w:rsidR="001409B7" w:rsidRPr="00A57AB4">
        <w:rPr>
          <w:sz w:val="24"/>
          <w:szCs w:val="24"/>
        </w:rPr>
        <w:t xml:space="preserve">del médico tratante, </w:t>
      </w:r>
      <w:r>
        <w:rPr>
          <w:sz w:val="24"/>
          <w:szCs w:val="24"/>
        </w:rPr>
        <w:t>pueden</w:t>
      </w:r>
      <w:r w:rsidR="00E10175" w:rsidRPr="00A57AB4">
        <w:rPr>
          <w:sz w:val="24"/>
          <w:szCs w:val="24"/>
        </w:rPr>
        <w:t xml:space="preserve"> utilizarse los corticoides en dosis acumuladas cada 48 h. Este espaciamiento de dosis incide en el control de los niveles de autoanticuerpos, controla la sintomatología clínica </w:t>
      </w:r>
      <w:r w:rsidR="00747E65" w:rsidRPr="00A57AB4">
        <w:rPr>
          <w:sz w:val="24"/>
          <w:szCs w:val="24"/>
        </w:rPr>
        <w:t>y reduce los efectos adversos</w:t>
      </w:r>
    </w:p>
    <w:p w:rsidR="00747E65" w:rsidRPr="00A57AB4" w:rsidRDefault="00A57AB4" w:rsidP="00684F6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Según el criterio del médico tratante, v</w:t>
      </w:r>
      <w:r w:rsidR="00747E65" w:rsidRPr="00A57AB4">
        <w:rPr>
          <w:sz w:val="24"/>
          <w:szCs w:val="24"/>
        </w:rPr>
        <w:t>alorar la suspensión</w:t>
      </w:r>
      <w:r>
        <w:rPr>
          <w:sz w:val="24"/>
          <w:szCs w:val="24"/>
        </w:rPr>
        <w:t xml:space="preserve"> de </w:t>
      </w:r>
      <w:r w:rsidR="00747E65" w:rsidRPr="00A57AB4">
        <w:rPr>
          <w:sz w:val="24"/>
          <w:szCs w:val="24"/>
        </w:rPr>
        <w:t xml:space="preserve">los </w:t>
      </w:r>
      <w:r w:rsidR="001409B7" w:rsidRPr="00A57AB4">
        <w:rPr>
          <w:sz w:val="24"/>
          <w:szCs w:val="24"/>
        </w:rPr>
        <w:t>“</w:t>
      </w:r>
      <w:r w:rsidR="00747E65" w:rsidRPr="00A57AB4">
        <w:rPr>
          <w:sz w:val="24"/>
          <w:szCs w:val="24"/>
        </w:rPr>
        <w:t>pulsos</w:t>
      </w:r>
      <w:r w:rsidR="001409B7" w:rsidRPr="00A57AB4">
        <w:rPr>
          <w:sz w:val="24"/>
          <w:szCs w:val="24"/>
        </w:rPr>
        <w:t>”</w:t>
      </w:r>
      <w:r w:rsidR="00747E65" w:rsidRPr="00A57AB4">
        <w:rPr>
          <w:sz w:val="24"/>
          <w:szCs w:val="24"/>
        </w:rPr>
        <w:t xml:space="preserve"> de metilprednisolona o </w:t>
      </w:r>
      <w:r>
        <w:rPr>
          <w:sz w:val="24"/>
          <w:szCs w:val="24"/>
        </w:rPr>
        <w:t xml:space="preserve">de </w:t>
      </w:r>
      <w:r w:rsidR="00747E65" w:rsidRPr="00A57AB4">
        <w:rPr>
          <w:sz w:val="24"/>
          <w:szCs w:val="24"/>
        </w:rPr>
        <w:t>ciclofosfamida</w:t>
      </w:r>
      <w:r>
        <w:rPr>
          <w:sz w:val="24"/>
          <w:szCs w:val="24"/>
        </w:rPr>
        <w:t xml:space="preserve">, </w:t>
      </w:r>
      <w:r w:rsidRPr="00A57AB4">
        <w:rPr>
          <w:sz w:val="24"/>
          <w:szCs w:val="24"/>
        </w:rPr>
        <w:t xml:space="preserve">hasta que </w:t>
      </w:r>
      <w:r>
        <w:rPr>
          <w:sz w:val="24"/>
          <w:szCs w:val="24"/>
        </w:rPr>
        <w:t xml:space="preserve">ya </w:t>
      </w:r>
      <w:r w:rsidRPr="00A57AB4">
        <w:rPr>
          <w:sz w:val="24"/>
          <w:szCs w:val="24"/>
        </w:rPr>
        <w:t>no haya riesgo de contagio</w:t>
      </w:r>
    </w:p>
    <w:p w:rsidR="00747E65" w:rsidRPr="00A57AB4" w:rsidRDefault="002954A5" w:rsidP="00684F6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Valorar la suspensión temporal</w:t>
      </w:r>
      <w:r w:rsidR="00747E65" w:rsidRPr="00A5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47E65" w:rsidRPr="00A57AB4">
        <w:rPr>
          <w:sz w:val="24"/>
          <w:szCs w:val="24"/>
        </w:rPr>
        <w:t>medicamento</w:t>
      </w:r>
      <w:r>
        <w:rPr>
          <w:sz w:val="24"/>
          <w:szCs w:val="24"/>
        </w:rPr>
        <w:t>s</w:t>
      </w:r>
      <w:r w:rsidR="00747E65" w:rsidRPr="00A57AB4">
        <w:rPr>
          <w:sz w:val="24"/>
          <w:szCs w:val="24"/>
        </w:rPr>
        <w:t xml:space="preserve"> biotecnológico</w:t>
      </w:r>
      <w:r>
        <w:rPr>
          <w:sz w:val="24"/>
          <w:szCs w:val="24"/>
        </w:rPr>
        <w:t>s</w:t>
      </w:r>
      <w:r w:rsidR="00747E65" w:rsidRPr="00A57AB4">
        <w:rPr>
          <w:sz w:val="24"/>
          <w:szCs w:val="24"/>
        </w:rPr>
        <w:t xml:space="preserve"> del tipo de los anticuerpos monoclonales (p. ej., rituximab, adalimumab, infliximab)</w:t>
      </w:r>
      <w:r>
        <w:rPr>
          <w:sz w:val="24"/>
          <w:szCs w:val="24"/>
        </w:rPr>
        <w:t xml:space="preserve"> </w:t>
      </w:r>
      <w:r w:rsidRPr="00A57AB4">
        <w:rPr>
          <w:sz w:val="24"/>
          <w:szCs w:val="24"/>
        </w:rPr>
        <w:t xml:space="preserve">hasta que </w:t>
      </w:r>
      <w:r>
        <w:rPr>
          <w:sz w:val="24"/>
          <w:szCs w:val="24"/>
        </w:rPr>
        <w:t xml:space="preserve">ya </w:t>
      </w:r>
      <w:r w:rsidRPr="00A57AB4">
        <w:rPr>
          <w:sz w:val="24"/>
          <w:szCs w:val="24"/>
        </w:rPr>
        <w:t>no haya riesgo de contagio</w:t>
      </w:r>
      <w:r w:rsidR="00747E65" w:rsidRPr="00A57AB4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="00747E65" w:rsidRPr="00A57AB4">
        <w:rPr>
          <w:sz w:val="24"/>
          <w:szCs w:val="24"/>
        </w:rPr>
        <w:t xml:space="preserve">o aplica para </w:t>
      </w:r>
      <w:r>
        <w:rPr>
          <w:sz w:val="24"/>
          <w:szCs w:val="24"/>
        </w:rPr>
        <w:t>el uso de</w:t>
      </w:r>
      <w:r w:rsidR="00747E65" w:rsidRPr="00A57AB4">
        <w:rPr>
          <w:sz w:val="24"/>
          <w:szCs w:val="24"/>
        </w:rPr>
        <w:t xml:space="preserve"> interferones</w:t>
      </w:r>
    </w:p>
    <w:p w:rsidR="001409B7" w:rsidRPr="00A57AB4" w:rsidRDefault="002954A5" w:rsidP="00684F6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existe una</w:t>
      </w:r>
      <w:r w:rsidR="00747E65" w:rsidRPr="00A57AB4">
        <w:rPr>
          <w:sz w:val="24"/>
          <w:szCs w:val="24"/>
        </w:rPr>
        <w:t xml:space="preserve"> inmunodeficiencia </w:t>
      </w:r>
      <w:r>
        <w:rPr>
          <w:sz w:val="24"/>
          <w:szCs w:val="24"/>
        </w:rPr>
        <w:t>asociada</w:t>
      </w:r>
      <w:r w:rsidR="00747E65" w:rsidRPr="00A57AB4">
        <w:rPr>
          <w:sz w:val="24"/>
          <w:szCs w:val="24"/>
        </w:rPr>
        <w:t>, se puede adicionar un medicamento inmunoestimulante, pero bajo la supervisión estricta de un médico especialista en: Pediatría, Medicina Interna o Alergia e Inmunología Clínica.</w:t>
      </w:r>
    </w:p>
    <w:p w:rsidR="002954A5" w:rsidRDefault="002954A5" w:rsidP="002A6B12">
      <w:pPr>
        <w:jc w:val="both"/>
      </w:pPr>
    </w:p>
    <w:p w:rsidR="001409B7" w:rsidRPr="001409B7" w:rsidRDefault="001409B7" w:rsidP="002A6B12">
      <w:pPr>
        <w:jc w:val="both"/>
        <w:rPr>
          <w:color w:val="00B0F0"/>
          <w:sz w:val="28"/>
          <w:szCs w:val="28"/>
        </w:rPr>
      </w:pPr>
      <w:r w:rsidRPr="001409B7">
        <w:rPr>
          <w:color w:val="00B0F0"/>
          <w:sz w:val="28"/>
          <w:szCs w:val="28"/>
        </w:rPr>
        <w:t>Referencias útiles:</w:t>
      </w:r>
    </w:p>
    <w:p w:rsidR="00711375" w:rsidRDefault="00D00F36" w:rsidP="002A6B12">
      <w:pPr>
        <w:jc w:val="both"/>
      </w:pPr>
      <w:hyperlink r:id="rId8" w:history="1">
        <w:r w:rsidR="00747E65" w:rsidRPr="00D416A0">
          <w:rPr>
            <w:rStyle w:val="Hipervnculo"/>
          </w:rPr>
          <w:t>https://www.fesemi.org/grupos/autoinmunes/informacion/unidades</w:t>
        </w:r>
      </w:hyperlink>
    </w:p>
    <w:p w:rsidR="00943B9D" w:rsidRDefault="00D00F36" w:rsidP="002A6B12">
      <w:pPr>
        <w:jc w:val="both"/>
      </w:pPr>
      <w:hyperlink r:id="rId9" w:history="1">
        <w:r w:rsidR="00943B9D">
          <w:rPr>
            <w:rStyle w:val="Hipervnculo"/>
          </w:rPr>
          <w:t>https://espanol.womenshealth.gov/a-z-topics/autoimmune-diseases</w:t>
        </w:r>
      </w:hyperlink>
    </w:p>
    <w:p w:rsidR="00943B9D" w:rsidRPr="00943B9D" w:rsidRDefault="00D00F36" w:rsidP="002A6B12">
      <w:pPr>
        <w:jc w:val="both"/>
      </w:pPr>
      <w:hyperlink r:id="rId10" w:history="1">
        <w:r w:rsidR="00943B9D">
          <w:rPr>
            <w:rStyle w:val="Hipervnculo"/>
          </w:rPr>
          <w:t>https://medlineplus.gov/spanish/autoimmunediseases.html</w:t>
        </w:r>
      </w:hyperlink>
    </w:p>
    <w:sectPr w:rsidR="00943B9D" w:rsidRPr="00943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F36" w:rsidRDefault="00D00F36" w:rsidP="00BE27CF">
      <w:pPr>
        <w:spacing w:after="0" w:line="240" w:lineRule="auto"/>
      </w:pPr>
      <w:r>
        <w:separator/>
      </w:r>
    </w:p>
  </w:endnote>
  <w:endnote w:type="continuationSeparator" w:id="0">
    <w:p w:rsidR="00D00F36" w:rsidRDefault="00D00F36" w:rsidP="00BE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F36" w:rsidRDefault="00D00F36" w:rsidP="00BE27CF">
      <w:pPr>
        <w:spacing w:after="0" w:line="240" w:lineRule="auto"/>
      </w:pPr>
      <w:r>
        <w:separator/>
      </w:r>
    </w:p>
  </w:footnote>
  <w:footnote w:type="continuationSeparator" w:id="0">
    <w:p w:rsidR="00D00F36" w:rsidRDefault="00D00F36" w:rsidP="00BE27CF">
      <w:pPr>
        <w:spacing w:after="0" w:line="240" w:lineRule="auto"/>
      </w:pPr>
      <w:r>
        <w:continuationSeparator/>
      </w:r>
    </w:p>
  </w:footnote>
  <w:footnote w:id="1">
    <w:p w:rsidR="00BE27CF" w:rsidRPr="00C41651" w:rsidRDefault="00BE27CF">
      <w:pPr>
        <w:pStyle w:val="Textonotapie"/>
        <w:rPr>
          <w:rFonts w:ascii="Calibri" w:hAnsi="Calibri" w:cs="Calibri"/>
          <w:sz w:val="18"/>
          <w:szCs w:val="18"/>
        </w:rPr>
      </w:pPr>
      <w:r w:rsidRPr="00C41651">
        <w:rPr>
          <w:rStyle w:val="Refdenotaalpie"/>
          <w:rFonts w:ascii="Calibri" w:hAnsi="Calibri" w:cs="Calibri"/>
          <w:sz w:val="18"/>
          <w:szCs w:val="18"/>
        </w:rPr>
        <w:footnoteRef/>
      </w:r>
      <w:r w:rsidRPr="00C41651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1" w:history="1">
        <w:r w:rsidRPr="00C41651">
          <w:rPr>
            <w:rFonts w:ascii="Calibri" w:eastAsia="Times New Roman" w:hAnsi="Calibri" w:cs="Calibri"/>
            <w:sz w:val="18"/>
            <w:szCs w:val="18"/>
            <w:lang w:val="en-US" w:eastAsia="es-MX"/>
          </w:rPr>
          <w:t>Cooper GS</w:t>
        </w:r>
      </w:hyperlink>
      <w:r w:rsidRPr="00C41651">
        <w:rPr>
          <w:rFonts w:ascii="Calibri" w:eastAsia="Times New Roman" w:hAnsi="Calibri" w:cs="Calibri"/>
          <w:sz w:val="18"/>
          <w:szCs w:val="18"/>
          <w:lang w:val="en-US" w:eastAsia="es-MX"/>
        </w:rPr>
        <w:t>, </w:t>
      </w:r>
      <w:hyperlink r:id="rId2" w:history="1">
        <w:r w:rsidRPr="00C41651">
          <w:rPr>
            <w:rFonts w:ascii="Calibri" w:eastAsia="Times New Roman" w:hAnsi="Calibri" w:cs="Calibri"/>
            <w:sz w:val="18"/>
            <w:szCs w:val="18"/>
            <w:lang w:val="en-US" w:eastAsia="es-MX"/>
          </w:rPr>
          <w:t>Bynum ML</w:t>
        </w:r>
      </w:hyperlink>
      <w:r w:rsidRPr="00C41651">
        <w:rPr>
          <w:rFonts w:ascii="Calibri" w:eastAsia="Times New Roman" w:hAnsi="Calibri" w:cs="Calibri"/>
          <w:sz w:val="18"/>
          <w:szCs w:val="18"/>
          <w:lang w:val="en-US" w:eastAsia="es-MX"/>
        </w:rPr>
        <w:t>, </w:t>
      </w:r>
      <w:hyperlink r:id="rId3" w:history="1">
        <w:r w:rsidRPr="00C41651">
          <w:rPr>
            <w:rFonts w:ascii="Calibri" w:eastAsia="Times New Roman" w:hAnsi="Calibri" w:cs="Calibri"/>
            <w:sz w:val="18"/>
            <w:szCs w:val="18"/>
            <w:lang w:val="en-US" w:eastAsia="es-MX"/>
          </w:rPr>
          <w:t>Somers EC</w:t>
        </w:r>
      </w:hyperlink>
      <w:r w:rsidRPr="00C41651">
        <w:rPr>
          <w:rFonts w:ascii="Calibri" w:eastAsia="Times New Roman" w:hAnsi="Calibri" w:cs="Calibri"/>
          <w:sz w:val="18"/>
          <w:szCs w:val="18"/>
          <w:lang w:val="en-US" w:eastAsia="es-MX"/>
        </w:rPr>
        <w:t xml:space="preserve">. </w:t>
      </w:r>
      <w:r w:rsidRPr="00C41651">
        <w:rPr>
          <w:rFonts w:ascii="Calibri" w:eastAsia="Times New Roman" w:hAnsi="Calibri" w:cs="Calibri"/>
          <w:kern w:val="36"/>
          <w:sz w:val="18"/>
          <w:szCs w:val="18"/>
          <w:lang w:val="en-US" w:eastAsia="es-MX"/>
        </w:rPr>
        <w:t xml:space="preserve">Recent insights in the epidemiology of autoimmune diseases: improved prevalence estimates and understanding of clustering of diseases. </w:t>
      </w:r>
      <w:hyperlink r:id="rId4" w:tooltip="Journal of autoimmunity." w:history="1">
        <w:r w:rsidRPr="00C41651">
          <w:rPr>
            <w:rFonts w:ascii="Calibri" w:eastAsia="Times New Roman" w:hAnsi="Calibri" w:cs="Calibri"/>
            <w:sz w:val="18"/>
            <w:szCs w:val="18"/>
            <w:lang w:eastAsia="es-MX"/>
          </w:rPr>
          <w:t>J Autoimmun.</w:t>
        </w:r>
      </w:hyperlink>
      <w:r w:rsidRPr="00C41651">
        <w:rPr>
          <w:rFonts w:ascii="Calibri" w:eastAsia="Times New Roman" w:hAnsi="Calibri" w:cs="Calibri"/>
          <w:sz w:val="18"/>
          <w:szCs w:val="18"/>
          <w:lang w:eastAsia="es-MX"/>
        </w:rPr>
        <w:t> 2009;33</w:t>
      </w:r>
      <w:r w:rsidR="00943B9D" w:rsidRPr="00C41651">
        <w:rPr>
          <w:rFonts w:ascii="Calibri" w:eastAsia="Times New Roman" w:hAnsi="Calibri" w:cs="Calibri"/>
          <w:sz w:val="18"/>
          <w:szCs w:val="18"/>
          <w:lang w:eastAsia="es-MX"/>
        </w:rPr>
        <w:t xml:space="preserve"> </w:t>
      </w:r>
      <w:r w:rsidRPr="00C41651">
        <w:rPr>
          <w:rFonts w:ascii="Calibri" w:eastAsia="Times New Roman" w:hAnsi="Calibri" w:cs="Calibri"/>
          <w:sz w:val="18"/>
          <w:szCs w:val="18"/>
          <w:lang w:eastAsia="es-MX"/>
        </w:rPr>
        <w:t>(3-4):</w:t>
      </w:r>
      <w:r w:rsidR="00943B9D" w:rsidRPr="00C41651">
        <w:rPr>
          <w:rFonts w:ascii="Calibri" w:eastAsia="Times New Roman" w:hAnsi="Calibri" w:cs="Calibri"/>
          <w:sz w:val="18"/>
          <w:szCs w:val="18"/>
          <w:lang w:eastAsia="es-MX"/>
        </w:rPr>
        <w:t xml:space="preserve"> </w:t>
      </w:r>
      <w:r w:rsidRPr="00C41651">
        <w:rPr>
          <w:rFonts w:ascii="Calibri" w:eastAsia="Times New Roman" w:hAnsi="Calibri" w:cs="Calibri"/>
          <w:sz w:val="18"/>
          <w:szCs w:val="18"/>
          <w:lang w:eastAsia="es-MX"/>
        </w:rPr>
        <w:t>197-207. doi: 10.1016/j.jaut.2009.09.008. Epub 2009 Oct 9</w:t>
      </w:r>
    </w:p>
  </w:footnote>
  <w:footnote w:id="2">
    <w:p w:rsidR="00943B9D" w:rsidRPr="00C41651" w:rsidRDefault="00943B9D">
      <w:pPr>
        <w:pStyle w:val="Textonotapie"/>
        <w:rPr>
          <w:rFonts w:ascii="Calibri" w:hAnsi="Calibri" w:cs="Calibri"/>
        </w:rPr>
      </w:pPr>
      <w:r w:rsidRPr="00C41651">
        <w:rPr>
          <w:rStyle w:val="Refdenotaalpie"/>
          <w:rFonts w:ascii="Calibri" w:hAnsi="Calibri" w:cs="Calibri"/>
        </w:rPr>
        <w:footnoteRef/>
      </w:r>
      <w:r w:rsidRPr="00C41651">
        <w:rPr>
          <w:rFonts w:ascii="Calibri" w:hAnsi="Calibri" w:cs="Calibri"/>
        </w:rPr>
        <w:t xml:space="preserve"> </w:t>
      </w:r>
      <w:r w:rsidR="003272C1" w:rsidRPr="00C41651">
        <w:rPr>
          <w:rFonts w:ascii="Calibri" w:hAnsi="Calibri" w:cs="Calibri"/>
          <w:sz w:val="18"/>
          <w:szCs w:val="18"/>
        </w:rPr>
        <w:t>Vargas-Camaño ME, Martínez-Aguilar NE, Castrejón-Vázquez MI. Autoinmunidad. Capítulo 22 En: Inmunología Molecular, Celular y Traslacional. Lenin Pavón R, María del C. Jiménez Martínez, María Eugenia Cortés Álvarez, editores. Wolters-Kluwers, México 2016; pp. 40c8-433</w:t>
      </w:r>
    </w:p>
  </w:footnote>
  <w:footnote w:id="3">
    <w:p w:rsidR="003272C1" w:rsidRPr="00C41651" w:rsidRDefault="003272C1">
      <w:pPr>
        <w:pStyle w:val="Textonotapie"/>
        <w:rPr>
          <w:rFonts w:ascii="Calibri" w:hAnsi="Calibri" w:cs="Calibri"/>
        </w:rPr>
      </w:pPr>
      <w:r w:rsidRPr="00C41651">
        <w:rPr>
          <w:rStyle w:val="Refdenotaalpie"/>
          <w:rFonts w:ascii="Calibri" w:hAnsi="Calibri" w:cs="Calibri"/>
        </w:rPr>
        <w:footnoteRef/>
      </w:r>
      <w:r w:rsidRPr="00C41651">
        <w:rPr>
          <w:rFonts w:ascii="Calibri" w:hAnsi="Calibri" w:cs="Calibri"/>
          <w:lang w:val="en-US"/>
        </w:rPr>
        <w:t xml:space="preserve"> </w:t>
      </w:r>
      <w:hyperlink r:id="rId5" w:history="1">
        <w:r w:rsidRPr="00C4165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  <w:shd w:val="clear" w:color="auto" w:fill="FFFFFF"/>
            <w:lang w:val="en-US"/>
          </w:rPr>
          <w:t>Schmidt RE</w:t>
        </w:r>
      </w:hyperlink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>, </w:t>
      </w:r>
      <w:proofErr w:type="spellStart"/>
      <w:r w:rsidRPr="00C41651">
        <w:fldChar w:fldCharType="begin"/>
      </w:r>
      <w:r w:rsidRPr="00C41651">
        <w:rPr>
          <w:rFonts w:ascii="Calibri" w:hAnsi="Calibri" w:cs="Calibri"/>
          <w:sz w:val="18"/>
          <w:szCs w:val="18"/>
          <w:lang w:val="en-US"/>
        </w:rPr>
        <w:instrText xml:space="preserve"> HYPERLINK "https://www.ncbi.nlm.nih.gov/pubmed/?term=Grimbacher%20B%5BAuthor%5D&amp;cauthor=true&amp;cauthor_uid=29255211" </w:instrText>
      </w:r>
      <w:r w:rsidRPr="00C41651">
        <w:fldChar w:fldCharType="separate"/>
      </w:r>
      <w:r w:rsidRPr="00C41651">
        <w:rPr>
          <w:rStyle w:val="Hipervnculo"/>
          <w:rFonts w:ascii="Calibri" w:hAnsi="Calibri" w:cs="Calibri"/>
          <w:color w:val="000000" w:themeColor="text1"/>
          <w:sz w:val="18"/>
          <w:szCs w:val="18"/>
          <w:u w:val="none"/>
          <w:shd w:val="clear" w:color="auto" w:fill="FFFFFF"/>
          <w:lang w:val="en-US"/>
        </w:rPr>
        <w:t>Grimbacher</w:t>
      </w:r>
      <w:proofErr w:type="spellEnd"/>
      <w:r w:rsidRPr="00C41651">
        <w:rPr>
          <w:rStyle w:val="Hipervnculo"/>
          <w:rFonts w:ascii="Calibri" w:hAnsi="Calibri" w:cs="Calibri"/>
          <w:color w:val="000000" w:themeColor="text1"/>
          <w:sz w:val="18"/>
          <w:szCs w:val="18"/>
          <w:u w:val="none"/>
          <w:shd w:val="clear" w:color="auto" w:fill="FFFFFF"/>
          <w:lang w:val="en-US"/>
        </w:rPr>
        <w:t xml:space="preserve"> B</w:t>
      </w:r>
      <w:r w:rsidRPr="00C41651">
        <w:rPr>
          <w:rStyle w:val="Hipervnculo"/>
          <w:rFonts w:ascii="Calibri" w:hAnsi="Calibri" w:cs="Calibri"/>
          <w:color w:val="000000" w:themeColor="text1"/>
          <w:sz w:val="18"/>
          <w:szCs w:val="18"/>
          <w:u w:val="none"/>
          <w:shd w:val="clear" w:color="auto" w:fill="FFFFFF"/>
          <w:lang w:val="en-US"/>
        </w:rPr>
        <w:fldChar w:fldCharType="end"/>
      </w:r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 xml:space="preserve"> &amp; </w:t>
      </w:r>
      <w:hyperlink r:id="rId6" w:history="1">
        <w:r w:rsidRPr="00C4165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  <w:shd w:val="clear" w:color="auto" w:fill="FFFFFF"/>
            <w:lang w:val="en-US"/>
          </w:rPr>
          <w:t>Witte T</w:t>
        </w:r>
      </w:hyperlink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>.</w:t>
      </w:r>
      <w:r w:rsidRPr="00C41651">
        <w:rPr>
          <w:rFonts w:ascii="Calibri" w:hAnsi="Calibri" w:cs="Calibri"/>
          <w:color w:val="000000" w:themeColor="text1"/>
          <w:sz w:val="18"/>
          <w:szCs w:val="18"/>
          <w:lang w:val="en-US"/>
        </w:rPr>
        <w:t xml:space="preserve"> Autoimmunity and primary immunodeficiency: two sides of the same coin?</w:t>
      </w:r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hyperlink r:id="rId7" w:tooltip="Nature reviews. Rheumatology." w:history="1">
        <w:r w:rsidRPr="00C4165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  <w:shd w:val="clear" w:color="auto" w:fill="FFFFFF"/>
            <w:lang w:val="en-US"/>
          </w:rPr>
          <w:t xml:space="preserve">Nat Rev </w:t>
        </w:r>
        <w:proofErr w:type="spellStart"/>
        <w:r w:rsidRPr="00C4165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  <w:shd w:val="clear" w:color="auto" w:fill="FFFFFF"/>
            <w:lang w:val="en-US"/>
          </w:rPr>
          <w:t>Rheumatol</w:t>
        </w:r>
        <w:proofErr w:type="spellEnd"/>
        <w:r w:rsidRPr="00C4165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  <w:shd w:val="clear" w:color="auto" w:fill="FFFFFF"/>
            <w:lang w:val="en-US"/>
          </w:rPr>
          <w:t>.</w:t>
        </w:r>
      </w:hyperlink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 xml:space="preserve"> 2017; 19; 1 4(1): 7-18. </w:t>
      </w:r>
      <w:proofErr w:type="spellStart"/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>doi</w:t>
      </w:r>
      <w:proofErr w:type="spellEnd"/>
      <w:r w:rsidRPr="00C41651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  <w:lang w:val="en-US"/>
        </w:rPr>
        <w:t>: 10.1038/nrrheum.2017.198.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F63"/>
    <w:multiLevelType w:val="hybridMultilevel"/>
    <w:tmpl w:val="A1C0D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C20A5"/>
    <w:multiLevelType w:val="hybridMultilevel"/>
    <w:tmpl w:val="2BA841C6"/>
    <w:lvl w:ilvl="0" w:tplc="39E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C5C88"/>
    <w:multiLevelType w:val="hybridMultilevel"/>
    <w:tmpl w:val="0DA49B56"/>
    <w:lvl w:ilvl="0" w:tplc="39E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1C7356"/>
    <w:multiLevelType w:val="hybridMultilevel"/>
    <w:tmpl w:val="78524EF4"/>
    <w:lvl w:ilvl="0" w:tplc="E30AB2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7"/>
    <w:rsid w:val="00122EF7"/>
    <w:rsid w:val="001409B7"/>
    <w:rsid w:val="002954A5"/>
    <w:rsid w:val="002A2B5F"/>
    <w:rsid w:val="002A6B12"/>
    <w:rsid w:val="003170CE"/>
    <w:rsid w:val="003272C1"/>
    <w:rsid w:val="00684F67"/>
    <w:rsid w:val="00711375"/>
    <w:rsid w:val="00747E65"/>
    <w:rsid w:val="00761A49"/>
    <w:rsid w:val="00943B9D"/>
    <w:rsid w:val="00A57AB4"/>
    <w:rsid w:val="00AE2054"/>
    <w:rsid w:val="00BE27CF"/>
    <w:rsid w:val="00C41651"/>
    <w:rsid w:val="00D00F36"/>
    <w:rsid w:val="00D23BD2"/>
    <w:rsid w:val="00E10175"/>
    <w:rsid w:val="00E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D13F"/>
  <w15:chartTrackingRefBased/>
  <w15:docId w15:val="{02C98AD2-49DB-4276-A0A4-A8CACE3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2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27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BE27C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27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27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27CF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47E6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09B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A6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6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emi.org/grupos/autoinmunes/informacion/unida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lineplus.gov/spanish/autoimmunedisea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anol.womenshealth.gov/a-z-topics/autoimmune-disease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?term=Somers%20EC%5BAuthor%5D&amp;cauthor=true&amp;cauthor_uid=19819109" TargetMode="External"/><Relationship Id="rId7" Type="http://schemas.openxmlformats.org/officeDocument/2006/relationships/hyperlink" Target="https://www.ncbi.nlm.nih.gov/pubmed/29255211" TargetMode="External"/><Relationship Id="rId2" Type="http://schemas.openxmlformats.org/officeDocument/2006/relationships/hyperlink" Target="https://www.ncbi.nlm.nih.gov/pubmed/?term=Bynum%20ML%5BAuthor%5D&amp;cauthor=true&amp;cauthor_uid=19819109" TargetMode="External"/><Relationship Id="rId1" Type="http://schemas.openxmlformats.org/officeDocument/2006/relationships/hyperlink" Target="https://www.ncbi.nlm.nih.gov/pubmed/?term=Cooper%20GS%5BAuthor%5D&amp;cauthor=true&amp;cauthor_uid=19819109" TargetMode="External"/><Relationship Id="rId6" Type="http://schemas.openxmlformats.org/officeDocument/2006/relationships/hyperlink" Target="https://www.ncbi.nlm.nih.gov/pubmed/?term=Witte%20T%5BAuthor%5D&amp;cauthor=true&amp;cauthor_uid=29255211" TargetMode="External"/><Relationship Id="rId5" Type="http://schemas.openxmlformats.org/officeDocument/2006/relationships/hyperlink" Target="https://www.ncbi.nlm.nih.gov/pubmed/?term=Schmidt%20RE%5BAuthor%5D&amp;cauthor=true&amp;cauthor_uid=29255211" TargetMode="External"/><Relationship Id="rId4" Type="http://schemas.openxmlformats.org/officeDocument/2006/relationships/hyperlink" Target="https://www.ncbi.nlm.nih.gov/pubmed/198191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1C54-431B-724D-B556-BF007CF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Vargas</dc:creator>
  <cp:keywords/>
  <dc:description/>
  <cp:lastModifiedBy>José Antonio Ortega Martell</cp:lastModifiedBy>
  <cp:revision>6</cp:revision>
  <dcterms:created xsi:type="dcterms:W3CDTF">2020-04-18T16:22:00Z</dcterms:created>
  <dcterms:modified xsi:type="dcterms:W3CDTF">2020-04-24T13:25:00Z</dcterms:modified>
</cp:coreProperties>
</file>